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7D10" w14:textId="77777777" w:rsidR="004B5272" w:rsidRPr="00F82B1D" w:rsidRDefault="004B5272" w:rsidP="004B527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32E207D" w14:textId="6F72A70D" w:rsidR="00586DDE" w:rsidRPr="00586DDE" w:rsidRDefault="00586DDE" w:rsidP="00586DDE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lang w:eastAsia="el-GR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lang w:eastAsia="el-GR"/>
        </w:rPr>
        <w:t xml:space="preserve">ΑΠΟΤΕΛΕΣΜΑΤΑ ΕΚΛΟΓΩΝ - </w:t>
      </w:r>
      <w:r w:rsidR="00F82B1D">
        <w:rPr>
          <w:rFonts w:asciiTheme="minorHAnsi" w:hAnsiTheme="minorHAnsi" w:cstheme="minorHAnsi"/>
          <w:b/>
          <w:bCs/>
          <w:sz w:val="36"/>
          <w:szCs w:val="36"/>
          <w:u w:val="single"/>
          <w:lang w:eastAsia="el-GR"/>
        </w:rPr>
        <w:t xml:space="preserve">ΕΓΓΡΑΦΗ ΜΕΛΩΝ  - </w:t>
      </w:r>
      <w:r w:rsidR="00014870" w:rsidRPr="00E62167">
        <w:rPr>
          <w:rFonts w:asciiTheme="minorHAnsi" w:hAnsiTheme="minorHAnsi" w:cstheme="minorHAnsi"/>
          <w:b/>
          <w:bCs/>
          <w:sz w:val="36"/>
          <w:szCs w:val="36"/>
          <w:u w:val="single"/>
          <w:lang w:eastAsia="el-GR"/>
        </w:rPr>
        <w:t>ΔΙΚΤΥΟ ΑΓΩΓΗΣ ΥΓΕΙΑΣ ΚΑΙ ΠΡΟΛΗΨΗΣ</w:t>
      </w:r>
    </w:p>
    <w:p w14:paraId="249303C0" w14:textId="77777777" w:rsidR="00B35CB5" w:rsidRDefault="00B35CB5" w:rsidP="00B35C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</w:p>
    <w:p w14:paraId="50F65C18" w14:textId="55DFE8A5" w:rsidR="00B35CB5" w:rsidRDefault="00B35CB5" w:rsidP="00B35CB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</w:t>
      </w:r>
      <w:r w:rsidRPr="00B35CB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η Δευτέρα 31/05/2022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διεξήχθησαν </w:t>
      </w:r>
      <w:r w:rsidRPr="00B35CB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ηλεκτρονικές εκλογές για την ανάδειξη </w:t>
      </w:r>
      <w:r w:rsidRPr="00B35CB5">
        <w:rPr>
          <w:rFonts w:ascii="Times New Roman" w:hAnsi="Times New Roman" w:cs="Times New Roman"/>
          <w:bCs/>
          <w:sz w:val="24"/>
          <w:szCs w:val="24"/>
        </w:rPr>
        <w:t>του Υπεύθυνου Συντονισμού του Δικτύου</w:t>
      </w:r>
      <w:r w:rsidRPr="00B35CB5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Αγωγής</w:t>
      </w:r>
      <w:r w:rsidRPr="00B35CB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Υγείας</w:t>
      </w:r>
      <w:r w:rsidRPr="00B35CB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&amp;</w:t>
      </w:r>
      <w:r w:rsidRPr="00B35C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Πρόληψης της</w:t>
      </w:r>
      <w:r w:rsidRPr="00B35CB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2</w:t>
      </w:r>
      <w:r w:rsidRPr="00B35CB5">
        <w:rPr>
          <w:rFonts w:ascii="Times New Roman" w:hAnsi="Times New Roman" w:cs="Times New Roman"/>
          <w:bCs/>
          <w:sz w:val="24"/>
          <w:szCs w:val="24"/>
          <w:vertAlign w:val="superscript"/>
        </w:rPr>
        <w:t>ης</w:t>
      </w:r>
      <w:r w:rsidRPr="00B35CB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Υγειονομικής</w:t>
      </w:r>
      <w:r w:rsidRPr="00B35CB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B35CB5">
        <w:rPr>
          <w:rFonts w:ascii="Times New Roman" w:hAnsi="Times New Roman" w:cs="Times New Roman"/>
          <w:bCs/>
          <w:sz w:val="24"/>
          <w:szCs w:val="24"/>
        </w:rPr>
        <w:t>Περιφέρειας Πειραιώς και Αιγαίου, μέσω της ψηφιακής κάλπης «ΖΕΥΣ» (ΦΕΚ 5244/ τεύχος Β΄/ 12-11-2021).</w:t>
      </w:r>
    </w:p>
    <w:p w14:paraId="09ECF03D" w14:textId="77777777" w:rsidR="00B35CB5" w:rsidRPr="00B35CB5" w:rsidRDefault="00B35CB5" w:rsidP="00B35CB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37EE4C" w14:textId="396A7DCA" w:rsidR="00B35CB5" w:rsidRDefault="00B35CB5" w:rsidP="00B35CB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CB5">
        <w:rPr>
          <w:rFonts w:ascii="Times New Roman" w:hAnsi="Times New Roman" w:cs="Times New Roman"/>
          <w:bCs/>
          <w:sz w:val="24"/>
          <w:szCs w:val="24"/>
        </w:rPr>
        <w:t>Η εκλογική διαδικασία ξεκίνησε τη Δευτέρα 30/05/2022 ώρα 6.00 π.μ. και ολοκληρώθηκε τη Δευτέρα 30/05/2022  ώρα 11:59 μ.μ.</w:t>
      </w:r>
    </w:p>
    <w:p w14:paraId="456885C0" w14:textId="77777777" w:rsidR="00B35CB5" w:rsidRPr="00B35CB5" w:rsidRDefault="00B35CB5" w:rsidP="00B35CB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D8A76" w14:textId="5D5CF91A" w:rsidR="00B35CB5" w:rsidRDefault="00B35CB5" w:rsidP="00B35CB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35CB5">
        <w:rPr>
          <w:rFonts w:ascii="Times New Roman" w:hAnsi="Times New Roman" w:cs="Times New Roman"/>
          <w:bCs/>
          <w:sz w:val="24"/>
          <w:szCs w:val="24"/>
        </w:rPr>
        <w:t>Μετά τη λήξη της διαδικασίας ακολούθησε ηλεκτρονικά αποκρυπτογράφηση των ψηφοδελτίων, με τα παρακάτω αποτελέσματα:</w:t>
      </w:r>
    </w:p>
    <w:p w14:paraId="52CD32A3" w14:textId="77777777" w:rsidR="00B35CB5" w:rsidRPr="00B35CB5" w:rsidRDefault="00B35CB5" w:rsidP="00B35CB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46" w:type="dxa"/>
        <w:tblInd w:w="-5" w:type="dxa"/>
        <w:tblLook w:val="04A0" w:firstRow="1" w:lastRow="0" w:firstColumn="1" w:lastColumn="0" w:noHBand="0" w:noVBand="1"/>
      </w:tblPr>
      <w:tblGrid>
        <w:gridCol w:w="2299"/>
        <w:gridCol w:w="6747"/>
      </w:tblGrid>
      <w:tr w:rsidR="00B35CB5" w:rsidRPr="00B35CB5" w14:paraId="2FD015CE" w14:textId="77777777" w:rsidTr="00C05700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BB31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ΕΓΓΕΓΡΑΜΜΕΝΟΙ: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B170D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Διακόσιοι εξήντα πέντε (265)</w:t>
            </w:r>
          </w:p>
        </w:tc>
      </w:tr>
      <w:tr w:rsidR="00B35CB5" w:rsidRPr="00B35CB5" w14:paraId="3230415C" w14:textId="77777777" w:rsidTr="00C05700">
        <w:trPr>
          <w:trHeight w:val="30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FA2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ΨΗΦΙΣΑΝ: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8E4D9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Εκατόν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 xml:space="preserve"> ενενήντα τέσσερις (194)</w:t>
            </w:r>
          </w:p>
        </w:tc>
      </w:tr>
      <w:tr w:rsidR="00B35CB5" w:rsidRPr="00B35CB5" w14:paraId="52E600B4" w14:textId="77777777" w:rsidTr="00C05700">
        <w:trPr>
          <w:trHeight w:val="30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8D0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ΕΓΚΥΡΑ: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2647D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Εκατόν</w:t>
            </w:r>
            <w:proofErr w:type="spellEnd"/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 xml:space="preserve"> ενενήντα τέσσερις (194)</w:t>
            </w:r>
          </w:p>
        </w:tc>
      </w:tr>
      <w:tr w:rsidR="00B35CB5" w:rsidRPr="00B35CB5" w14:paraId="0FC24454" w14:textId="77777777" w:rsidTr="00C05700">
        <w:trPr>
          <w:trHeight w:val="30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D3D4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ΑΚΥΡΑ: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C4F12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Μηδέν (0)</w:t>
            </w:r>
          </w:p>
        </w:tc>
      </w:tr>
      <w:tr w:rsidR="00B35CB5" w:rsidRPr="00B35CB5" w14:paraId="091BEDE2" w14:textId="77777777" w:rsidTr="00C05700">
        <w:trPr>
          <w:trHeight w:val="31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F560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ΛΕΥΚΑ: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939D2" w14:textId="77777777" w:rsidR="00B35CB5" w:rsidRPr="00B35CB5" w:rsidRDefault="00B35CB5" w:rsidP="00B35CB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</w:pPr>
            <w:r w:rsidRPr="00B35C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l-GR"/>
              </w:rPr>
              <w:t>Δέκα οκτώ (18)</w:t>
            </w:r>
          </w:p>
        </w:tc>
      </w:tr>
    </w:tbl>
    <w:p w14:paraId="7A071DA1" w14:textId="77777777" w:rsidR="00B35CB5" w:rsidRPr="00B35CB5" w:rsidRDefault="00B35CB5" w:rsidP="00B35C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892E9" w14:textId="77777777" w:rsidR="00B35CB5" w:rsidRPr="00B35CB5" w:rsidRDefault="00B35CB5" w:rsidP="00B35CB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Έλαβαν ψήφους: </w:t>
      </w:r>
    </w:p>
    <w:p w14:paraId="29F8E45D" w14:textId="77777777" w:rsidR="00B35CB5" w:rsidRPr="00B35CB5" w:rsidRDefault="00B35CB5" w:rsidP="00B35CB5">
      <w:pPr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ΣΩΤΗΡΙΑΔΟΥ ΣΙΜΕΛΑ ΤΕ ΕΠΙΣΚΕΤΩΝ ΥΓΕΙΑΣ ΚΕΝΤΡΟ ΥΓΕΙΑΣ ΙΛΙΟΥ: Ενενήντα τέσσερις  94</w:t>
      </w:r>
    </w:p>
    <w:p w14:paraId="4C5D9708" w14:textId="77777777" w:rsidR="00B35CB5" w:rsidRPr="00B35CB5" w:rsidRDefault="00B35CB5" w:rsidP="00B35CB5">
      <w:pPr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ΚΟΥΛΟΥΡΗ ΑΓΟΡΙΤΣΑ TE ΝΟΣΗΛΕΥΤΙΚΗΣ ΚΕΝΤΡΟ ΥΓΕΙΑΣ ΣΑΛΑΜΙΝΑΣ: Εξήντα οκτώ  68</w:t>
      </w:r>
    </w:p>
    <w:p w14:paraId="3D77E02E" w14:textId="77777777" w:rsidR="00B35CB5" w:rsidRPr="00B35CB5" w:rsidRDefault="00B35CB5" w:rsidP="00B35CB5">
      <w:pPr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ΑΝΕΜΟΔΟΥΡΑ ΒΑΡΒΑΡΑ ΙΑΤΡΙΚΗΣ ΚΥ ΔΡΑΠΕΤΣΩΝΑΣ: Έντεκα  11</w:t>
      </w:r>
    </w:p>
    <w:p w14:paraId="3AE0091F" w14:textId="77777777" w:rsidR="00B35CB5" w:rsidRPr="00B35CB5" w:rsidRDefault="00B35CB5" w:rsidP="00B35CB5">
      <w:pPr>
        <w:numPr>
          <w:ilvl w:val="0"/>
          <w:numId w:val="2"/>
        </w:numPr>
        <w:autoSpaceDE w:val="0"/>
        <w:autoSpaceDN w:val="0"/>
        <w:adjustRightInd w:val="0"/>
        <w:spacing w:after="16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ΚΑΡΑΔΗΜΗΤΡΗ ΣΤΑΜΑΤΙΑ ΤΕ ΝΟΣΗΛΕΥΤΙΚΗΣ ΠΠΙ ΚΑΡΔΑΜΥΛΩΝ: Δύο 2</w:t>
      </w:r>
    </w:p>
    <w:p w14:paraId="3FCABDE2" w14:textId="77777777" w:rsidR="00B35CB5" w:rsidRPr="00B35CB5" w:rsidRDefault="00B35CB5" w:rsidP="00B35CB5">
      <w:pPr>
        <w:numPr>
          <w:ilvl w:val="0"/>
          <w:numId w:val="2"/>
        </w:numPr>
        <w:tabs>
          <w:tab w:val="left" w:pos="709"/>
        </w:tabs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ΠΑΛΛΗ ΕΛΕΝΗ ΤΕ ΠΛΗΡΟΦΟΡΙΚΗΣ ΚΕΝΤΡΟ ΥΓΕΙΑΣ ΡΟΔΟΥ: Έναν  1</w:t>
      </w:r>
    </w:p>
    <w:p w14:paraId="5FE355D9" w14:textId="61C91605" w:rsidR="00B35CB5" w:rsidRDefault="00B35CB5" w:rsidP="00B35CB5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5EB10E" w14:textId="1DBB4DDD" w:rsidR="00B35CB5" w:rsidRDefault="00B35CB5" w:rsidP="00B35CB5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5A6E0CA" w14:textId="77777777" w:rsidR="00B35CB5" w:rsidRPr="00B35CB5" w:rsidRDefault="00B35CB5" w:rsidP="00B35CB5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F61625D" w14:textId="77777777" w:rsidR="00B35CB5" w:rsidRPr="00B35CB5" w:rsidRDefault="00B35CB5" w:rsidP="00B35CB5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B35CB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lastRenderedPageBreak/>
        <w:t>Εκλέγονται:</w:t>
      </w:r>
    </w:p>
    <w:p w14:paraId="46075F47" w14:textId="77777777" w:rsidR="00B35CB5" w:rsidRPr="00B35CB5" w:rsidRDefault="00B35CB5" w:rsidP="00B35CB5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0A44B692" w14:textId="500F343C" w:rsidR="00586DDE" w:rsidRDefault="00B35CB5" w:rsidP="00B35CB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CB5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Υπεύθυνη Συντονισμού του Δικτύου Αγωγής Υγείας και Πρόληψης της 2</w:t>
      </w:r>
      <w:r w:rsidRPr="00B35C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Pr="00B35C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35CB5">
        <w:rPr>
          <w:rFonts w:ascii="Times New Roman" w:eastAsia="Times New Roman" w:hAnsi="Times New Roman" w:cs="Times New Roman"/>
          <w:sz w:val="24"/>
          <w:szCs w:val="24"/>
          <w:lang w:eastAsia="el-GR"/>
        </w:rPr>
        <w:t>Υ.Πε</w:t>
      </w:r>
      <w:proofErr w:type="spellEnd"/>
      <w:r w:rsidRPr="00B35CB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Πειραιώς και Αιγαίου: </w:t>
      </w:r>
      <w:r w:rsidRPr="00B35CB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Σωτηριάδου Σιμέλα του Χαραλάμπους με αναπληρώτρια την Κουλούρη Αγορίτσα του Γεωργίου</w:t>
      </w:r>
    </w:p>
    <w:p w14:paraId="7253C18D" w14:textId="77777777" w:rsidR="00B35CB5" w:rsidRPr="00B35CB5" w:rsidRDefault="00B35CB5" w:rsidP="00B35CB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543EA1" w14:textId="74DE2BD6" w:rsidR="00014870" w:rsidRPr="00E62167" w:rsidRDefault="00586DDE" w:rsidP="00B35CB5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E62167">
        <w:rPr>
          <w:rFonts w:asciiTheme="minorHAnsi" w:hAnsiTheme="minorHAnsi" w:cstheme="minorHAnsi"/>
          <w:sz w:val="24"/>
          <w:szCs w:val="24"/>
          <w:lang w:eastAsia="el-GR"/>
        </w:rPr>
        <w:t xml:space="preserve">Η φόρμα εγγραφής μελών στο Δίκτυο Αγωγής Υγείας της 2ης ΥΠΕ Πειραιώς και Αιγαίου  θα παραμείνει ενεργή </w:t>
      </w:r>
      <w:r>
        <w:rPr>
          <w:rFonts w:asciiTheme="minorHAnsi" w:hAnsiTheme="minorHAnsi" w:cstheme="minorHAnsi"/>
          <w:sz w:val="24"/>
          <w:szCs w:val="24"/>
          <w:lang w:eastAsia="el-GR"/>
        </w:rPr>
        <w:t xml:space="preserve">για εγγραφές όλο τον χρόνο, για  όσους θέλουν να συμμετέχουν στις δράσεις του Δικτύου, </w:t>
      </w:r>
      <w:r w:rsidR="00014870" w:rsidRPr="00E62167">
        <w:rPr>
          <w:rFonts w:asciiTheme="minorHAnsi" w:hAnsiTheme="minorHAnsi" w:cstheme="minorHAnsi"/>
          <w:sz w:val="24"/>
          <w:szCs w:val="24"/>
          <w:lang w:eastAsia="el-GR"/>
        </w:rPr>
        <w:t>πατώντας στον παρακάτω σύνδεσμο:</w:t>
      </w:r>
    </w:p>
    <w:p w14:paraId="2AF381D4" w14:textId="77777777" w:rsidR="00014870" w:rsidRPr="00A5254D" w:rsidRDefault="00D42F23" w:rsidP="00E6216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hyperlink r:id="rId5" w:history="1">
        <w:r w:rsidR="00014870" w:rsidRPr="00A5254D">
          <w:rPr>
            <w:rStyle w:val="-"/>
            <w:rFonts w:asciiTheme="minorHAnsi" w:hAnsiTheme="minorHAnsi" w:cstheme="minorHAnsi"/>
            <w:sz w:val="24"/>
            <w:szCs w:val="24"/>
            <w:lang w:eastAsia="el-GR"/>
          </w:rPr>
          <w:t>https://docs.google.com/forms/d/e/1FAIpQLSfchTtiy23ECVI___IL-Lg1t0k-qQ5BhDEWoJMTKraejH9B5A/viewform?usp=sf_link</w:t>
        </w:r>
      </w:hyperlink>
      <w:r w:rsidR="00014870" w:rsidRPr="00A5254D">
        <w:rPr>
          <w:rFonts w:asciiTheme="minorHAnsi" w:hAnsiTheme="minorHAnsi" w:cstheme="minorHAnsi"/>
          <w:sz w:val="24"/>
          <w:szCs w:val="24"/>
          <w:lang w:eastAsia="el-GR"/>
        </w:rPr>
        <w:t xml:space="preserve"> </w:t>
      </w:r>
    </w:p>
    <w:p w14:paraId="56967E0E" w14:textId="19B2684F" w:rsidR="007302A8" w:rsidRDefault="00D42F23" w:rsidP="00E6216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3F4594" wp14:editId="141B7152">
            <wp:simplePos x="0" y="0"/>
            <wp:positionH relativeFrom="column">
              <wp:posOffset>737235</wp:posOffset>
            </wp:positionH>
            <wp:positionV relativeFrom="paragraph">
              <wp:posOffset>299720</wp:posOffset>
            </wp:positionV>
            <wp:extent cx="4216895" cy="2372003"/>
            <wp:effectExtent l="0" t="0" r="0" b="9525"/>
            <wp:wrapNone/>
            <wp:docPr id="2" name="Εικόνα 2" descr="ΥΠΑΙΘ: Ενημέρωση για τις εγγραφές σε ΓΕΛ και ΕΠΑΛ - diodos.edu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ΑΙΘ: Ενημέρωση για τις εγγραφές σε ΓΕΛ και ΕΠΑΛ - diodos.edu.g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895" cy="237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2FC0D" w14:textId="0F17A8C6" w:rsidR="007302A8" w:rsidRDefault="007302A8" w:rsidP="00E6216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</w:p>
    <w:p w14:paraId="21FDEC03" w14:textId="2553E4BE" w:rsidR="007302A8" w:rsidRDefault="007302A8" w:rsidP="00E6216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</w:p>
    <w:p w14:paraId="1E7B0299" w14:textId="77777777" w:rsidR="007302A8" w:rsidRPr="00E62167" w:rsidRDefault="007302A8" w:rsidP="00E62167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</w:p>
    <w:sectPr w:rsidR="007302A8" w:rsidRPr="00E62167" w:rsidSect="00B35CB5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53D3"/>
    <w:multiLevelType w:val="hybridMultilevel"/>
    <w:tmpl w:val="83DC0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44BD6"/>
    <w:multiLevelType w:val="hybridMultilevel"/>
    <w:tmpl w:val="1CE8566E"/>
    <w:lvl w:ilvl="0" w:tplc="2B8E6B92">
      <w:start w:val="1"/>
      <w:numFmt w:val="decimal"/>
      <w:lvlText w:val="%1."/>
      <w:lvlJc w:val="left"/>
      <w:pPr>
        <w:ind w:left="547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4D2279CA">
      <w:numFmt w:val="bullet"/>
      <w:lvlText w:val="•"/>
      <w:lvlJc w:val="left"/>
      <w:pPr>
        <w:ind w:left="1484" w:hanging="428"/>
      </w:pPr>
      <w:rPr>
        <w:rFonts w:hint="default"/>
        <w:lang w:val="el-GR" w:eastAsia="en-US" w:bidi="ar-SA"/>
      </w:rPr>
    </w:lvl>
    <w:lvl w:ilvl="2" w:tplc="BEEE50D6">
      <w:numFmt w:val="bullet"/>
      <w:lvlText w:val="•"/>
      <w:lvlJc w:val="left"/>
      <w:pPr>
        <w:ind w:left="2428" w:hanging="428"/>
      </w:pPr>
      <w:rPr>
        <w:rFonts w:hint="default"/>
        <w:lang w:val="el-GR" w:eastAsia="en-US" w:bidi="ar-SA"/>
      </w:rPr>
    </w:lvl>
    <w:lvl w:ilvl="3" w:tplc="919E0192">
      <w:numFmt w:val="bullet"/>
      <w:lvlText w:val="•"/>
      <w:lvlJc w:val="left"/>
      <w:pPr>
        <w:ind w:left="3372" w:hanging="428"/>
      </w:pPr>
      <w:rPr>
        <w:rFonts w:hint="default"/>
        <w:lang w:val="el-GR" w:eastAsia="en-US" w:bidi="ar-SA"/>
      </w:rPr>
    </w:lvl>
    <w:lvl w:ilvl="4" w:tplc="8DC09AFE">
      <w:numFmt w:val="bullet"/>
      <w:lvlText w:val="•"/>
      <w:lvlJc w:val="left"/>
      <w:pPr>
        <w:ind w:left="4316" w:hanging="428"/>
      </w:pPr>
      <w:rPr>
        <w:rFonts w:hint="default"/>
        <w:lang w:val="el-GR" w:eastAsia="en-US" w:bidi="ar-SA"/>
      </w:rPr>
    </w:lvl>
    <w:lvl w:ilvl="5" w:tplc="98742CF4">
      <w:numFmt w:val="bullet"/>
      <w:lvlText w:val="•"/>
      <w:lvlJc w:val="left"/>
      <w:pPr>
        <w:ind w:left="5260" w:hanging="428"/>
      </w:pPr>
      <w:rPr>
        <w:rFonts w:hint="default"/>
        <w:lang w:val="el-GR" w:eastAsia="en-US" w:bidi="ar-SA"/>
      </w:rPr>
    </w:lvl>
    <w:lvl w:ilvl="6" w:tplc="F1AC09C0">
      <w:numFmt w:val="bullet"/>
      <w:lvlText w:val="•"/>
      <w:lvlJc w:val="left"/>
      <w:pPr>
        <w:ind w:left="6204" w:hanging="428"/>
      </w:pPr>
      <w:rPr>
        <w:rFonts w:hint="default"/>
        <w:lang w:val="el-GR" w:eastAsia="en-US" w:bidi="ar-SA"/>
      </w:rPr>
    </w:lvl>
    <w:lvl w:ilvl="7" w:tplc="7E4A3B7A">
      <w:numFmt w:val="bullet"/>
      <w:lvlText w:val="•"/>
      <w:lvlJc w:val="left"/>
      <w:pPr>
        <w:ind w:left="7148" w:hanging="428"/>
      </w:pPr>
      <w:rPr>
        <w:rFonts w:hint="default"/>
        <w:lang w:val="el-GR" w:eastAsia="en-US" w:bidi="ar-SA"/>
      </w:rPr>
    </w:lvl>
    <w:lvl w:ilvl="8" w:tplc="4B6027CE">
      <w:numFmt w:val="bullet"/>
      <w:lvlText w:val="•"/>
      <w:lvlJc w:val="left"/>
      <w:pPr>
        <w:ind w:left="8092" w:hanging="428"/>
      </w:pPr>
      <w:rPr>
        <w:rFonts w:hint="default"/>
        <w:lang w:val="el-GR" w:eastAsia="en-US" w:bidi="ar-SA"/>
      </w:rPr>
    </w:lvl>
  </w:abstractNum>
  <w:num w:numId="1" w16cid:durableId="791048457">
    <w:abstractNumId w:val="1"/>
  </w:num>
  <w:num w:numId="2" w16cid:durableId="105022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F1"/>
    <w:rsid w:val="00014870"/>
    <w:rsid w:val="001920DD"/>
    <w:rsid w:val="002347F1"/>
    <w:rsid w:val="00497F94"/>
    <w:rsid w:val="004B5272"/>
    <w:rsid w:val="00586DDE"/>
    <w:rsid w:val="00671644"/>
    <w:rsid w:val="007302A8"/>
    <w:rsid w:val="00A5254D"/>
    <w:rsid w:val="00B22CD9"/>
    <w:rsid w:val="00B35CB5"/>
    <w:rsid w:val="00C24A49"/>
    <w:rsid w:val="00D0098D"/>
    <w:rsid w:val="00D42F23"/>
    <w:rsid w:val="00E62167"/>
    <w:rsid w:val="00F75017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1FAB"/>
  <w15:chartTrackingRefBased/>
  <w15:docId w15:val="{380CDBE0-95E3-4521-BC5D-A6EC99F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87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14870"/>
    <w:rPr>
      <w:color w:val="0563C1"/>
      <w:u w:val="single"/>
    </w:rPr>
  </w:style>
  <w:style w:type="paragraph" w:styleId="a3">
    <w:name w:val="List Paragraph"/>
    <w:basedOn w:val="a"/>
    <w:uiPriority w:val="1"/>
    <w:qFormat/>
    <w:rsid w:val="007302A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fchTtiy23ECVI___IL-Lg1t0k-qQ5BhDEWoJMTKraejH9B5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ΠΑΡΑΣΚΕΥΗ ΒΑΡΔΑ</dc:creator>
  <cp:keywords/>
  <dc:description/>
  <cp:lastModifiedBy>ΠΑΡΑΣΚΕΥΗ ΒΑΡΔΑ</cp:lastModifiedBy>
  <cp:revision>3</cp:revision>
  <dcterms:created xsi:type="dcterms:W3CDTF">2022-06-01T08:39:00Z</dcterms:created>
  <dcterms:modified xsi:type="dcterms:W3CDTF">2022-06-01T09:10:00Z</dcterms:modified>
</cp:coreProperties>
</file>