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2405"/>
        <w:gridCol w:w="6237"/>
      </w:tblGrid>
      <w:tr w:rsidR="00164702" w:rsidRPr="000A1212" w14:paraId="203F4FE9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0EDFC6E3" w14:textId="77777777" w:rsidR="00164702" w:rsidRDefault="00164702" w:rsidP="005230A4">
            <w:r>
              <w:t>Τίτλος</w:t>
            </w:r>
          </w:p>
          <w:p w14:paraId="39DDAB56" w14:textId="77777777" w:rsidR="00164702" w:rsidRPr="00CE03F6" w:rsidRDefault="00164702" w:rsidP="005230A4">
            <w:pPr>
              <w:rPr>
                <w:lang w:val="en-US"/>
              </w:rPr>
            </w:pPr>
            <w:r w:rsidRPr="00CE03F6">
              <w:rPr>
                <w:color w:val="808080" w:themeColor="background1" w:themeShade="80"/>
                <w:lang w:val="en-US"/>
              </w:rPr>
              <w:t>Title</w:t>
            </w:r>
          </w:p>
        </w:tc>
        <w:tc>
          <w:tcPr>
            <w:tcW w:w="6237" w:type="dxa"/>
          </w:tcPr>
          <w:p w14:paraId="0802D6EA" w14:textId="77777777" w:rsidR="00164702" w:rsidRPr="008378C5" w:rsidRDefault="00164702" w:rsidP="005230A4">
            <w:pPr>
              <w:jc w:val="both"/>
              <w:rPr>
                <w:b/>
                <w:bCs/>
              </w:rPr>
            </w:pPr>
            <w:r w:rsidRPr="008378C5">
              <w:rPr>
                <w:b/>
                <w:bCs/>
              </w:rPr>
              <w:t>Προμήθεια και εγκατάσταση μονάδων παραγωγής οξυγόνου ιατρικής χρήσεως σε νοσοκομεία νήσων Αιγαίου και Κύπρου</w:t>
            </w:r>
          </w:p>
          <w:p w14:paraId="6FFB8C39" w14:textId="77777777" w:rsidR="00164702" w:rsidRPr="00A72C90" w:rsidRDefault="00164702" w:rsidP="005230A4">
            <w:pPr>
              <w:jc w:val="both"/>
              <w:rPr>
                <w:lang w:val="en-US"/>
              </w:rPr>
            </w:pPr>
            <w:r>
              <w:rPr>
                <w:color w:val="A6A6A6" w:themeColor="background1" w:themeShade="A6"/>
                <w:lang w:val="en-US"/>
              </w:rPr>
              <w:t>Procurement</w:t>
            </w:r>
            <w:r w:rsidRPr="00A72C90">
              <w:rPr>
                <w:color w:val="A6A6A6" w:themeColor="background1" w:themeShade="A6"/>
                <w:lang w:val="en-US"/>
              </w:rPr>
              <w:t xml:space="preserve"> and installation of medical</w:t>
            </w:r>
            <w:r>
              <w:rPr>
                <w:color w:val="A6A6A6" w:themeColor="background1" w:themeShade="A6"/>
                <w:lang w:val="en-US"/>
              </w:rPr>
              <w:t xml:space="preserve"> gas</w:t>
            </w:r>
            <w:r w:rsidRPr="00A72C90">
              <w:rPr>
                <w:color w:val="A6A6A6" w:themeColor="background1" w:themeShade="A6"/>
                <w:lang w:val="en-US"/>
              </w:rPr>
              <w:t xml:space="preserve"> oxygen production units in hospitals in the Aegean and Cyprus</w:t>
            </w:r>
          </w:p>
        </w:tc>
      </w:tr>
      <w:tr w:rsidR="00164702" w14:paraId="2D3CCBA4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37E95205" w14:textId="77777777" w:rsidR="00164702" w:rsidRDefault="00164702" w:rsidP="005230A4">
            <w:r>
              <w:t>Περιφέρεια</w:t>
            </w:r>
          </w:p>
          <w:p w14:paraId="0CFC6263" w14:textId="77777777" w:rsidR="00164702" w:rsidRPr="00CE03F6" w:rsidRDefault="00164702" w:rsidP="005230A4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495717E7" w14:textId="77777777" w:rsidR="00164702" w:rsidRPr="00AD613C" w:rsidRDefault="00164702" w:rsidP="005230A4">
            <w:r>
              <w:t>Περιφέρειες Βορείου και Νοτίου Αιγαίου</w:t>
            </w:r>
          </w:p>
        </w:tc>
      </w:tr>
      <w:tr w:rsidR="00164702" w14:paraId="7B588106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105D1A70" w14:textId="77777777" w:rsidR="00164702" w:rsidRDefault="00164702" w:rsidP="005230A4">
            <w:r>
              <w:t>Επιχειρησιακό Πρόγραμμα</w:t>
            </w:r>
          </w:p>
          <w:p w14:paraId="5ECBF594" w14:textId="77777777" w:rsidR="00164702" w:rsidRPr="00CE03F6" w:rsidRDefault="00164702" w:rsidP="005230A4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51992620" w14:textId="77777777" w:rsidR="00164702" w:rsidRDefault="00164702" w:rsidP="005230A4">
            <w:r w:rsidRPr="009D48A7">
              <w:t>Πρ</w:t>
            </w:r>
            <w:r>
              <w:t>όγραμμα</w:t>
            </w:r>
            <w:r w:rsidRPr="009D48A7">
              <w:t xml:space="preserve"> Συνεργασίας </w:t>
            </w:r>
            <w:proofErr w:type="spellStart"/>
            <w:r w:rsidRPr="009D48A7">
              <w:t>Interreg</w:t>
            </w:r>
            <w:proofErr w:type="spellEnd"/>
            <w:r w:rsidRPr="009D48A7">
              <w:t xml:space="preserve"> V-A «Ελλάδα</w:t>
            </w:r>
            <w:r>
              <w:t xml:space="preserve"> </w:t>
            </w:r>
            <w:r w:rsidRPr="009D48A7">
              <w:t>-</w:t>
            </w:r>
            <w:r>
              <w:t xml:space="preserve"> </w:t>
            </w:r>
            <w:r w:rsidRPr="009D48A7">
              <w:t>Κύπρος  2014</w:t>
            </w:r>
            <w:r>
              <w:t xml:space="preserve"> </w:t>
            </w:r>
            <w:r w:rsidRPr="009D48A7">
              <w:t>-</w:t>
            </w:r>
            <w:r>
              <w:t xml:space="preserve"> </w:t>
            </w:r>
            <w:r w:rsidRPr="009D48A7">
              <w:t>2020</w:t>
            </w:r>
            <w:r>
              <w:t>»</w:t>
            </w:r>
          </w:p>
        </w:tc>
      </w:tr>
      <w:tr w:rsidR="00164702" w14:paraId="688B9C41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0D5AB67F" w14:textId="77777777" w:rsidR="00164702" w:rsidRDefault="00164702" w:rsidP="005230A4">
            <w:r>
              <w:t>Δικαιούχοι</w:t>
            </w:r>
          </w:p>
          <w:p w14:paraId="6C17EE97" w14:textId="77777777" w:rsidR="00164702" w:rsidRPr="00CE03F6" w:rsidRDefault="00164702" w:rsidP="005230A4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6D29097E" w14:textId="77777777" w:rsidR="00164702" w:rsidRDefault="00164702" w:rsidP="005230A4">
            <w:pPr>
              <w:pStyle w:val="a4"/>
              <w:numPr>
                <w:ilvl w:val="0"/>
                <w:numId w:val="1"/>
              </w:numPr>
            </w:pPr>
            <w:r>
              <w:t>2</w:t>
            </w:r>
            <w:r w:rsidRPr="00F60519">
              <w:rPr>
                <w:vertAlign w:val="superscript"/>
              </w:rPr>
              <w:t>η</w:t>
            </w:r>
            <w:r>
              <w:t xml:space="preserve"> ΔΥΠΕ Πειραιώς και Αιγαίου για τον κύριο Δικαιούχο (Δ1) (Ελλάδα)</w:t>
            </w:r>
          </w:p>
          <w:p w14:paraId="5A5E23AD" w14:textId="77777777" w:rsidR="00164702" w:rsidRPr="00A72C90" w:rsidRDefault="00164702" w:rsidP="005230A4">
            <w:pPr>
              <w:pStyle w:val="a4"/>
              <w:numPr>
                <w:ilvl w:val="0"/>
                <w:numId w:val="1"/>
              </w:numPr>
            </w:pPr>
            <w:r>
              <w:t xml:space="preserve">Τμήμα Ιατρικών Υπηρεσιών και Υπηρεσιών Δημόσιας Υγείας για τον Δικαιούχο (Δ2) (Κύπρος) </w:t>
            </w:r>
          </w:p>
        </w:tc>
      </w:tr>
      <w:tr w:rsidR="00164702" w14:paraId="6D166D52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4EF665D8" w14:textId="77777777" w:rsidR="00164702" w:rsidRDefault="00164702" w:rsidP="005230A4">
            <w:r>
              <w:t>Φορείς Λειτουργίας</w:t>
            </w:r>
          </w:p>
        </w:tc>
        <w:tc>
          <w:tcPr>
            <w:tcW w:w="6237" w:type="dxa"/>
          </w:tcPr>
          <w:p w14:paraId="5DADEF73" w14:textId="77777777" w:rsidR="00164702" w:rsidRDefault="00164702" w:rsidP="005230A4">
            <w:pPr>
              <w:pStyle w:val="a4"/>
              <w:numPr>
                <w:ilvl w:val="0"/>
                <w:numId w:val="1"/>
              </w:numPr>
            </w:pPr>
            <w:r>
              <w:t>Γ.Ν. Μυτιλήνης «</w:t>
            </w:r>
            <w:proofErr w:type="spellStart"/>
            <w:r>
              <w:t>Βοστάνειο</w:t>
            </w:r>
            <w:proofErr w:type="spellEnd"/>
            <w:r>
              <w:t>»</w:t>
            </w:r>
          </w:p>
          <w:p w14:paraId="74C802C3" w14:textId="77777777" w:rsidR="00164702" w:rsidRDefault="00164702" w:rsidP="005230A4">
            <w:pPr>
              <w:pStyle w:val="a4"/>
              <w:numPr>
                <w:ilvl w:val="0"/>
                <w:numId w:val="1"/>
              </w:numPr>
            </w:pPr>
            <w:r>
              <w:t>Γ.Ν. Ρόδου «Ανδρέας Παπανδρέου»</w:t>
            </w:r>
          </w:p>
          <w:p w14:paraId="381EF9F0" w14:textId="77777777" w:rsidR="00164702" w:rsidRDefault="00164702" w:rsidP="005230A4">
            <w:pPr>
              <w:pStyle w:val="a4"/>
              <w:numPr>
                <w:ilvl w:val="0"/>
                <w:numId w:val="1"/>
              </w:numPr>
            </w:pPr>
            <w:r>
              <w:t>Γ.Ν. Σάμου «Άγιος Παντελεήμων»</w:t>
            </w:r>
          </w:p>
          <w:p w14:paraId="176732D9" w14:textId="77777777" w:rsidR="00164702" w:rsidRDefault="00164702" w:rsidP="005230A4">
            <w:pPr>
              <w:pStyle w:val="a4"/>
              <w:numPr>
                <w:ilvl w:val="0"/>
                <w:numId w:val="1"/>
              </w:numPr>
            </w:pPr>
            <w:r>
              <w:t>Κ.Θ.Κ.Υ. Λέρου</w:t>
            </w:r>
          </w:p>
        </w:tc>
      </w:tr>
      <w:tr w:rsidR="00164702" w14:paraId="3D790009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106CCF5D" w14:textId="77777777" w:rsidR="00164702" w:rsidRDefault="00164702" w:rsidP="005230A4">
            <w:r>
              <w:t>Προϋπολογισμός (Πρότασης)</w:t>
            </w:r>
          </w:p>
          <w:p w14:paraId="395BDDE8" w14:textId="77777777" w:rsidR="00164702" w:rsidRPr="00CE03F6" w:rsidRDefault="00164702" w:rsidP="005230A4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145CCCD3" w14:textId="77777777" w:rsidR="00164702" w:rsidRDefault="00164702" w:rsidP="005230A4">
            <w:r w:rsidRPr="004371CD">
              <w:t xml:space="preserve">1.266.839,34 </w:t>
            </w:r>
            <w:r>
              <w:t>€ για τον ΚΔ1</w:t>
            </w:r>
          </w:p>
          <w:p w14:paraId="472A6F54" w14:textId="77777777" w:rsidR="00164702" w:rsidRDefault="00164702" w:rsidP="005230A4">
            <w:r>
              <w:t>960.368,60 € για τον Δ2</w:t>
            </w:r>
          </w:p>
          <w:p w14:paraId="41FDB797" w14:textId="77777777" w:rsidR="00164702" w:rsidRPr="009D48A7" w:rsidRDefault="00164702" w:rsidP="005230A4">
            <w:r w:rsidRPr="004371CD">
              <w:t>2.227.207,94</w:t>
            </w:r>
            <w:r>
              <w:t>€</w:t>
            </w:r>
            <w:r w:rsidRPr="004371CD">
              <w:t xml:space="preserve"> </w:t>
            </w:r>
            <w:r>
              <w:t>στο σύνολο</w:t>
            </w:r>
          </w:p>
        </w:tc>
      </w:tr>
      <w:tr w:rsidR="00164702" w14:paraId="4CE39BF0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66032D7D" w14:textId="77777777" w:rsidR="00164702" w:rsidRDefault="00164702" w:rsidP="005230A4">
            <w:r>
              <w:t>Ταμείο</w:t>
            </w:r>
          </w:p>
          <w:p w14:paraId="22F4F48C" w14:textId="77777777" w:rsidR="00164702" w:rsidRPr="00CE03F6" w:rsidRDefault="00164702" w:rsidP="005230A4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2A56540F" w14:textId="77777777" w:rsidR="00164702" w:rsidRDefault="00164702" w:rsidP="005230A4">
            <w:r w:rsidRPr="00F4721D">
              <w:t xml:space="preserve">Ευρωπαϊκό Ταμείο Περιφερειακής Ανάπτυξης (ΕΤΠΑ) </w:t>
            </w:r>
          </w:p>
        </w:tc>
      </w:tr>
      <w:tr w:rsidR="00164702" w14:paraId="41615978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52E233E2" w14:textId="77777777" w:rsidR="00164702" w:rsidRDefault="00164702" w:rsidP="005230A4">
            <w:r>
              <w:t>Περιγραφή</w:t>
            </w:r>
          </w:p>
          <w:p w14:paraId="4AED3BF1" w14:textId="77777777" w:rsidR="00164702" w:rsidRPr="00CE03F6" w:rsidRDefault="00164702" w:rsidP="005230A4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0A217A66" w14:textId="77777777" w:rsidR="00164702" w:rsidRDefault="00164702" w:rsidP="005230A4">
            <w:pPr>
              <w:jc w:val="both"/>
            </w:pPr>
            <w:r>
              <w:t xml:space="preserve">Η πράξη αφορά </w:t>
            </w:r>
            <w:r w:rsidRPr="001C5B87">
              <w:t xml:space="preserve">στην προμήθεια και εγκατάσταση συγκροτημάτων παραγωγής οξυγόνου ιατρικής χρήσεως σε τέσσερα νησιωτικά Νοσοκομεία της 2ης ΔΥΠΕ Πειραιώς και Αιγαίου καθώς επίσης και σε </w:t>
            </w:r>
            <w:r>
              <w:t>δύο</w:t>
            </w:r>
            <w:r w:rsidRPr="001C5B87">
              <w:t xml:space="preserve"> (</w:t>
            </w:r>
            <w:r>
              <w:t>2</w:t>
            </w:r>
            <w:r w:rsidRPr="001C5B87">
              <w:t>) ανάλογες εγκαταστάσεις σε Νοσοκομεία της Κυπριακής Δημοκρατίας. Τα νοσοκομεία της 2</w:t>
            </w:r>
            <w:r w:rsidRPr="00D47E3D">
              <w:rPr>
                <w:vertAlign w:val="superscript"/>
              </w:rPr>
              <w:t>ης</w:t>
            </w:r>
            <w:r>
              <w:rPr>
                <w:vertAlign w:val="superscript"/>
              </w:rPr>
              <w:t xml:space="preserve"> </w:t>
            </w:r>
            <w:r w:rsidRPr="001C5B87">
              <w:t xml:space="preserve">ΔΥΠΕ, στα οποία θα εγκατασταθούν οι μονάδες παραγωγής οξυγόνου είναι τα: Γ.Ν. Μυτιλήνης </w:t>
            </w:r>
            <w:r>
              <w:t>«</w:t>
            </w:r>
            <w:proofErr w:type="spellStart"/>
            <w:r w:rsidRPr="001C5B87">
              <w:t>Βοστάνειο</w:t>
            </w:r>
            <w:proofErr w:type="spellEnd"/>
            <w:r>
              <w:t>»</w:t>
            </w:r>
            <w:r w:rsidRPr="001C5B87">
              <w:t xml:space="preserve">, Γ.Ν. Σάμου </w:t>
            </w:r>
            <w:r>
              <w:t>«</w:t>
            </w:r>
            <w:r w:rsidRPr="001C5B87">
              <w:t>Αγ. Παντελεήμων</w:t>
            </w:r>
            <w:r>
              <w:t>»</w:t>
            </w:r>
            <w:r w:rsidRPr="001C5B87">
              <w:t xml:space="preserve"> (Περιφέρεια Βορείου Αιγαίου), Γ.Ν. Ρόδου </w:t>
            </w:r>
            <w:r>
              <w:t>«</w:t>
            </w:r>
            <w:r w:rsidRPr="001C5B87">
              <w:t>Α. Παπανδρέου</w:t>
            </w:r>
            <w:r>
              <w:t>»</w:t>
            </w:r>
            <w:r w:rsidRPr="001C5B87">
              <w:t xml:space="preserve"> και Κ. Θ. - Κ.Υ. Λέρου (Περιφέρεια Νοτίου Αιγαίου).</w:t>
            </w:r>
          </w:p>
        </w:tc>
      </w:tr>
      <w:tr w:rsidR="00164702" w14:paraId="19183556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4EB23632" w14:textId="77777777" w:rsidR="00164702" w:rsidRDefault="00164702" w:rsidP="005230A4">
            <w:r>
              <w:t>Οφέλη</w:t>
            </w:r>
          </w:p>
          <w:p w14:paraId="25D601B2" w14:textId="77777777" w:rsidR="00164702" w:rsidRPr="00CE03F6" w:rsidRDefault="00164702" w:rsidP="005230A4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1E0BC1DD" w14:textId="77777777" w:rsidR="00164702" w:rsidRDefault="00164702" w:rsidP="005230A4">
            <w:pPr>
              <w:jc w:val="both"/>
            </w:pPr>
            <w:r>
              <w:t>Τα οφέλη συνοψίζονται:</w:t>
            </w:r>
          </w:p>
          <w:p w14:paraId="4418F79A" w14:textId="77777777" w:rsidR="00164702" w:rsidRDefault="00164702" w:rsidP="005230A4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Εξοικονόμηση πόρων </w:t>
            </w:r>
          </w:p>
          <w:p w14:paraId="0CDFB141" w14:textId="77777777" w:rsidR="00164702" w:rsidRDefault="00164702" w:rsidP="005230A4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Ενίσχυση της αυτονομίας των Νοσοκομείων και επάρκεια σε </w:t>
            </w:r>
            <w:r w:rsidRPr="00470A1F">
              <w:t>Ο2 ιατρικής χρήσης</w:t>
            </w:r>
            <w:r>
              <w:t xml:space="preserve"> </w:t>
            </w:r>
          </w:p>
          <w:p w14:paraId="7C9FCA13" w14:textId="77777777" w:rsidR="00164702" w:rsidRPr="009D48A7" w:rsidRDefault="00164702" w:rsidP="005230A4">
            <w:pPr>
              <w:pStyle w:val="a4"/>
              <w:numPr>
                <w:ilvl w:val="0"/>
                <w:numId w:val="1"/>
              </w:numPr>
              <w:jc w:val="both"/>
            </w:pPr>
            <w:r>
              <w:t>Απρόσκοπτη παροχή υπηρεσιών υγείας στον ωφελούμενο πληθυσμό</w:t>
            </w:r>
          </w:p>
        </w:tc>
      </w:tr>
      <w:tr w:rsidR="00164702" w14:paraId="14BF1608" w14:textId="77777777" w:rsidTr="005230A4">
        <w:tc>
          <w:tcPr>
            <w:tcW w:w="2405" w:type="dxa"/>
            <w:shd w:val="clear" w:color="auto" w:fill="F7CAAC" w:themeFill="accent2" w:themeFillTint="66"/>
          </w:tcPr>
          <w:p w14:paraId="50C2F696" w14:textId="77777777" w:rsidR="00164702" w:rsidRDefault="00164702" w:rsidP="005230A4">
            <w:r>
              <w:t xml:space="preserve">Φωτογραφίες </w:t>
            </w:r>
          </w:p>
          <w:p w14:paraId="627ACA3B" w14:textId="77777777" w:rsidR="00164702" w:rsidRPr="00CE03F6" w:rsidRDefault="00164702" w:rsidP="005230A4">
            <w:pPr>
              <w:rPr>
                <w:lang w:val="en-US"/>
              </w:rPr>
            </w:pPr>
          </w:p>
        </w:tc>
        <w:tc>
          <w:tcPr>
            <w:tcW w:w="6237" w:type="dxa"/>
          </w:tcPr>
          <w:p w14:paraId="1BAD2F4C" w14:textId="77777777" w:rsidR="00164702" w:rsidRDefault="00164702" w:rsidP="005230A4"/>
          <w:p w14:paraId="5DFC45BB" w14:textId="77777777" w:rsidR="00164702" w:rsidRDefault="00164702" w:rsidP="005230A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1BCDB8B" wp14:editId="453F2489">
                  <wp:extent cx="3647621" cy="2735825"/>
                  <wp:effectExtent l="0" t="0" r="0" b="762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8268" cy="279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C0FF2" w14:textId="77777777" w:rsidR="00164702" w:rsidRDefault="00164702" w:rsidP="005230A4">
            <w:pPr>
              <w:jc w:val="center"/>
            </w:pPr>
          </w:p>
          <w:p w14:paraId="13CC77CE" w14:textId="77777777" w:rsidR="00164702" w:rsidRDefault="00164702" w:rsidP="005230A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6968BA" wp14:editId="40E36097">
                  <wp:extent cx="5052007" cy="3789158"/>
                  <wp:effectExtent l="2540" t="0" r="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114844" cy="383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CD8DA" w14:textId="77777777" w:rsidR="00164702" w:rsidRDefault="00164702" w:rsidP="005230A4">
            <w:pPr>
              <w:jc w:val="center"/>
              <w:rPr>
                <w:lang w:val="en-US"/>
              </w:rPr>
            </w:pPr>
          </w:p>
          <w:p w14:paraId="3BB7F3D2" w14:textId="77777777" w:rsidR="00164702" w:rsidRDefault="00164702" w:rsidP="005230A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DFD6375" wp14:editId="2CDD8135">
                  <wp:extent cx="3867077" cy="2905432"/>
                  <wp:effectExtent l="0" t="0" r="635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21" cy="300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1183DA" w14:textId="77777777" w:rsidR="00164702" w:rsidRDefault="00164702" w:rsidP="005230A4">
            <w:pPr>
              <w:jc w:val="center"/>
              <w:rPr>
                <w:lang w:val="en-US"/>
              </w:rPr>
            </w:pPr>
          </w:p>
          <w:p w14:paraId="09FBFD64" w14:textId="77777777" w:rsidR="00164702" w:rsidRDefault="00164702" w:rsidP="005230A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B291EA" wp14:editId="059498AD">
                  <wp:extent cx="3942260" cy="2957051"/>
                  <wp:effectExtent l="0" t="0" r="127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302" cy="299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4ABD6" w14:textId="77777777" w:rsidR="00164702" w:rsidRDefault="00164702" w:rsidP="005230A4">
            <w:pPr>
              <w:jc w:val="center"/>
              <w:rPr>
                <w:lang w:val="en-US"/>
              </w:rPr>
            </w:pPr>
          </w:p>
          <w:p w14:paraId="36B107A9" w14:textId="77777777" w:rsidR="00164702" w:rsidRDefault="00164702" w:rsidP="005230A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0B1D015" wp14:editId="3088880D">
                  <wp:extent cx="3863609" cy="2898058"/>
                  <wp:effectExtent l="0" t="0" r="381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254" cy="2937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7FACD8" w14:textId="77777777" w:rsidR="00164702" w:rsidRDefault="00164702" w:rsidP="005230A4">
            <w:pPr>
              <w:jc w:val="center"/>
              <w:rPr>
                <w:lang w:val="en-US"/>
              </w:rPr>
            </w:pPr>
          </w:p>
          <w:p w14:paraId="7D16BB1F" w14:textId="77777777" w:rsidR="00164702" w:rsidRDefault="00164702" w:rsidP="005230A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D82D13" wp14:editId="0045D6EC">
                  <wp:extent cx="3928714" cy="3819525"/>
                  <wp:effectExtent l="0" t="0" r="0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029" cy="3927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15A09A" w14:textId="77777777" w:rsidR="00164702" w:rsidRPr="00437D26" w:rsidRDefault="00164702" w:rsidP="005230A4">
            <w:pPr>
              <w:jc w:val="center"/>
              <w:rPr>
                <w:lang w:val="en-US"/>
              </w:rPr>
            </w:pPr>
          </w:p>
        </w:tc>
      </w:tr>
    </w:tbl>
    <w:p w14:paraId="64180019" w14:textId="77777777" w:rsidR="00C8796A" w:rsidRDefault="00C8796A"/>
    <w:sectPr w:rsidR="00C879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17FF"/>
    <w:multiLevelType w:val="hybridMultilevel"/>
    <w:tmpl w:val="6A3CD9B0"/>
    <w:lvl w:ilvl="0" w:tplc="4CE0A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6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02"/>
    <w:rsid w:val="00164702"/>
    <w:rsid w:val="00C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A6B0"/>
  <w15:chartTrackingRefBased/>
  <w15:docId w15:val="{03DBDA67-9A40-40D7-A0AC-40206DED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 YPE</dc:creator>
  <cp:keywords/>
  <dc:description/>
  <cp:lastModifiedBy>Second YPE</cp:lastModifiedBy>
  <cp:revision>1</cp:revision>
  <dcterms:created xsi:type="dcterms:W3CDTF">2022-04-13T07:18:00Z</dcterms:created>
  <dcterms:modified xsi:type="dcterms:W3CDTF">2022-04-13T07:19:00Z</dcterms:modified>
</cp:coreProperties>
</file>